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августа</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мировой судья судебного участка №6 Ханты-Мансийского судебного </w:t>
      </w:r>
      <w:r>
        <w:rPr>
          <w:rStyle w:val="cat-Addressgrp-2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953</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ч.4 ст.12.15 КоАП РФ в отношении </w:t>
      </w:r>
      <w:r>
        <w:rPr>
          <w:rStyle w:val="cat-FIOgrp-1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grp-28rplc-5"/>
          <w:rFonts w:ascii="Times New Roman" w:eastAsia="Times New Roman" w:hAnsi="Times New Roman" w:cs="Times New Roman"/>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Style w:val="cat-ExternalSystemDefinedgrp-26rplc-6"/>
          <w:rFonts w:ascii="Times New Roman" w:eastAsia="Times New Roman" w:hAnsi="Times New Roman" w:cs="Times New Roman"/>
          <w:sz w:val="28"/>
          <w:szCs w:val="28"/>
        </w:rPr>
        <w:t>...</w:t>
      </w:r>
      <w:r>
        <w:rPr>
          <w:rStyle w:val="cat-PassportDatagrp-1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привлекавшийся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pStyle w:val="Heading1"/>
        <w:keepLines/>
        <w:spacing w:before="0" w:after="0" w:line="276" w:lineRule="auto"/>
        <w:outlineLvl w:val="9"/>
        <w:rPr>
          <w:b/>
          <w:bCs/>
          <w:sz w:val="28"/>
          <w:szCs w:val="28"/>
        </w:rPr>
      </w:pPr>
    </w:p>
    <w:p>
      <w:pPr>
        <w:spacing w:before="0" w:after="0"/>
        <w:ind w:firstLine="709"/>
        <w:jc w:val="both"/>
        <w:rPr>
          <w:sz w:val="28"/>
          <w:szCs w:val="28"/>
        </w:rPr>
      </w:pPr>
      <w:r>
        <w:rPr>
          <w:rStyle w:val="cat-FIOgrp-13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16.05.2025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следовании по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около д.27, </w:t>
      </w:r>
      <w:r>
        <w:rPr>
          <w:rStyle w:val="cat-Addressgrp-0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автомобилем марки </w:t>
      </w:r>
      <w:r>
        <w:rPr>
          <w:rFonts w:ascii="Times New Roman" w:eastAsia="Times New Roman" w:hAnsi="Times New Roman" w:cs="Times New Roman"/>
          <w:sz w:val="28"/>
          <w:szCs w:val="28"/>
        </w:rPr>
        <w:t>«</w:t>
      </w:r>
      <w:r>
        <w:rPr>
          <w:rStyle w:val="cat-UserDefinedgrp-30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29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дороге с двусторонним движением, имеющим четыре полосы для движения, совершил выезд и движение на полосу, предназначенную для встречного движения, чем нарушим п.9.2</w:t>
      </w:r>
      <w:r>
        <w:rPr>
          <w:rFonts w:ascii="Times New Roman" w:eastAsia="Times New Roman" w:hAnsi="Times New Roman" w:cs="Times New Roman"/>
          <w:sz w:val="28"/>
          <w:szCs w:val="28"/>
        </w:rPr>
        <w:t xml:space="preserve">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w:t>
      </w:r>
      <w:r>
        <w:rPr>
          <w:rStyle w:val="cat-FIOgrp-1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присутствовал; о месте, дате и времени рассмотрения дела извещен надлежащим образом.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 2 ст. 25.1 КоАП РФ дело рассмотрено в отсутствие </w:t>
      </w:r>
      <w:r>
        <w:rPr>
          <w:rStyle w:val="cat-FIOgrp-14rplc-19"/>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и видеозапись, представленную с протоколом об административном правонарушении,</w:t>
      </w:r>
      <w:r>
        <w:rPr>
          <w:rFonts w:ascii="Times New Roman" w:eastAsia="Times New Roman" w:hAnsi="Times New Roman" w:cs="Times New Roman"/>
          <w:sz w:val="28"/>
          <w:szCs w:val="28"/>
        </w:rPr>
        <w:t xml:space="preserve">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w:t>
      </w:r>
      <w:r>
        <w:rPr>
          <w:rFonts w:ascii="Times New Roman" w:eastAsia="Times New Roman" w:hAnsi="Times New Roman" w:cs="Times New Roman"/>
          <w:sz w:val="28"/>
          <w:szCs w:val="28"/>
        </w:rPr>
        <w:t>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30"/>
          <w:szCs w:val="30"/>
        </w:rPr>
      </w:pPr>
      <w:r>
        <w:rPr>
          <w:rFonts w:ascii="Times New Roman" w:eastAsia="Times New Roman" w:hAnsi="Times New Roman" w:cs="Times New Roman"/>
          <w:sz w:val="30"/>
          <w:szCs w:val="30"/>
        </w:rPr>
        <w:t>Согласно п.9.2. ПДД РФ н</w:t>
      </w:r>
      <w:r>
        <w:rPr>
          <w:rFonts w:ascii="Times New Roman" w:eastAsia="Times New Roman" w:hAnsi="Times New Roman" w:cs="Times New Roman"/>
          <w:sz w:val="30"/>
          <w:szCs w:val="30"/>
        </w:rPr>
        <w:t>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w:t>
      </w:r>
      <w:r>
        <w:rPr>
          <w:rFonts w:ascii="Times New Roman" w:eastAsia="Times New Roman" w:hAnsi="Times New Roman" w:cs="Times New Roman"/>
          <w:sz w:val="30"/>
          <w:szCs w:val="30"/>
        </w:rPr>
        <w:t> </w:t>
      </w:r>
      <w:hyperlink r:id="rId5" w:anchor="dst100207" w:history="1">
        <w:r>
          <w:rPr>
            <w:rFonts w:ascii="Times New Roman" w:eastAsia="Times New Roman" w:hAnsi="Times New Roman" w:cs="Times New Roman"/>
            <w:color w:val="0000EE"/>
            <w:sz w:val="30"/>
            <w:szCs w:val="30"/>
          </w:rPr>
          <w:t>Правилами</w:t>
        </w:r>
      </w:hyperlink>
      <w:r>
        <w:rPr>
          <w:rFonts w:ascii="Times New Roman" w:eastAsia="Times New Roman" w:hAnsi="Times New Roman" w:cs="Times New Roman"/>
          <w:sz w:val="30"/>
          <w:szCs w:val="30"/>
        </w:rPr>
        <w:t>, знаками и (или) разметкой.</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Приложению 2 к ПДД РФ «Дорожная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Пункт 3 Приложения №1 к ПДД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Знак 3.20 «Обгон запрещен» Приложения №1 к ПДД РФ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Style w:val="cat-FIOgrp-1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 выразившегося в выезде на встречную полосу с пересечением дорожной разметки 1.1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545236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16.05</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составленным с участием </w:t>
      </w:r>
      <w:r>
        <w:rPr>
          <w:rStyle w:val="cat-FIOgrp-1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w:t>
      </w:r>
      <w:r>
        <w:rPr>
          <w:rFonts w:ascii="Times New Roman" w:eastAsia="Times New Roman" w:hAnsi="Times New Roman" w:cs="Times New Roman"/>
          <w:sz w:val="28"/>
          <w:szCs w:val="28"/>
        </w:rPr>
        <w:t>16.05</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 участием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каких-либо замечаний от которо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составлению схемы 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инспектора </w:t>
      </w:r>
      <w:r>
        <w:rPr>
          <w:rFonts w:ascii="Times New Roman" w:eastAsia="Times New Roman" w:hAnsi="Times New Roman" w:cs="Times New Roman"/>
          <w:sz w:val="28"/>
          <w:szCs w:val="28"/>
        </w:rPr>
        <w:t xml:space="preserve">ДПС </w:t>
      </w:r>
      <w:r>
        <w:rPr>
          <w:rStyle w:val="cat-FIOgrp-15rplc-27"/>
          <w:rFonts w:ascii="Times New Roman" w:eastAsia="Times New Roman" w:hAnsi="Times New Roman" w:cs="Times New Roman"/>
          <w:sz w:val="28"/>
          <w:szCs w:val="28"/>
        </w:rPr>
        <w:t>фио</w:t>
      </w:r>
      <w:r>
        <w:rPr>
          <w:rStyle w:val="cat-ExternalSystemDefinedgrp-27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МОМВД России «Ханты-Мансийский»</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16.05</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Style w:val="cat-FIOgrp-14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квалификации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действий по ч.4 </w:t>
      </w:r>
      <w:r>
        <w:rPr>
          <w:rFonts w:ascii="Times New Roman" w:eastAsia="Times New Roman" w:hAnsi="Times New Roman" w:cs="Times New Roman"/>
          <w:sz w:val="28"/>
          <w:szCs w:val="28"/>
        </w:rPr>
        <w:t xml:space="preserve">ст.12.15 КоАП РФ - </w:t>
      </w:r>
      <w:r>
        <w:rPr>
          <w:rFonts w:ascii="Times New Roman" w:eastAsia="Times New Roman" w:hAnsi="Times New Roman" w:cs="Times New Roman"/>
          <w:sz w:val="28"/>
          <w:szCs w:val="28"/>
        </w:rPr>
        <w:t xml:space="preserve">выезд в нарушение </w:t>
      </w:r>
      <w:hyperlink r:id="rId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Style w:val="cat-FIOgrp-1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 ответственность обстоятельств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Ранее </w:t>
      </w:r>
      <w:r>
        <w:rPr>
          <w:rStyle w:val="cat-FIOgrp-13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привлекался к административной ответственности за совершение однородного правонарушения, что в соответствии с п.2 ч.1 ст.4.3 КоАП РФ является обстоятельством, отягчающим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ст.ст.23.1, 29.10 КоАП РФ, мировой судья</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UserDefinedgrp-28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ч.4 ст.12.15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наказание в виде штрафа в размере </w:t>
      </w:r>
      <w:r>
        <w:rPr>
          <w:rStyle w:val="cat-Sumgrp-17rplc-3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8"/>
          <w:szCs w:val="28"/>
        </w:rPr>
        <w:t> </w:t>
      </w:r>
      <w:hyperlink r:id="rId7"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7"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7"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8" w:history="1">
        <w:r>
          <w:rPr>
            <w:rFonts w:ascii="Times New Roman" w:eastAsia="Times New Roman" w:hAnsi="Times New Roman" w:cs="Times New Roman"/>
            <w:color w:val="0000EE"/>
            <w:sz w:val="28"/>
            <w:szCs w:val="28"/>
          </w:rPr>
          <w:t xml:space="preserve">статьей </w:t>
        </w:r>
        <w:r>
          <w:rPr>
            <w:rFonts w:ascii="Times New Roman" w:eastAsia="Times New Roman" w:hAnsi="Times New Roman" w:cs="Times New Roman"/>
            <w:color w:val="0000EE"/>
            <w:sz w:val="28"/>
            <w:szCs w:val="28"/>
          </w:rPr>
          <w:t>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7"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7"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7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718</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w:t>
      </w:r>
      <w:r>
        <w:rPr>
          <w:rStyle w:val="cat-Sumgrp-18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получателя: 03100643000000018700, </w:t>
      </w:r>
      <w:r>
        <w:rPr>
          <w:rFonts w:ascii="Times New Roman" w:eastAsia="Times New Roman" w:hAnsi="Times New Roman" w:cs="Times New Roman"/>
          <w:sz w:val="28"/>
          <w:szCs w:val="28"/>
        </w:rPr>
        <w:t xml:space="preserve">банк получателя РКЦ Ханты-Мансийск </w:t>
      </w:r>
      <w:r>
        <w:rPr>
          <w:rStyle w:val="cat-Addressgrp-0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116 011230 10001140 БИК 007162163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w:t>
      </w:r>
      <w:r>
        <w:rPr>
          <w:rFonts w:ascii="Times New Roman" w:eastAsia="Times New Roman" w:hAnsi="Times New Roman" w:cs="Times New Roman"/>
          <w:sz w:val="28"/>
          <w:szCs w:val="28"/>
        </w:rPr>
        <w:t>250004106</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через мирового судью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6rplc-45"/>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6rplc-46"/>
          <w:rFonts w:ascii="Times New Roman" w:eastAsia="Times New Roman" w:hAnsi="Times New Roman" w:cs="Times New Roman"/>
          <w:sz w:val="28"/>
          <w:szCs w:val="28"/>
        </w:rPr>
        <w:t>фио</w:t>
      </w:r>
    </w:p>
    <w:p>
      <w:pPr>
        <w:spacing w:before="0" w:after="0"/>
        <w:jc w:val="both"/>
        <w:rPr>
          <w:sz w:val="28"/>
          <w:szCs w:val="28"/>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7086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2rplc-4">
    <w:name w:val="cat-FIO grp-12 rplc-4"/>
    <w:basedOn w:val="DefaultParagraphFont"/>
  </w:style>
  <w:style w:type="character" w:customStyle="1" w:styleId="cat-UserDefinedgrp-28rplc-5">
    <w:name w:val="cat-UserDefined grp-28 rplc-5"/>
    <w:basedOn w:val="DefaultParagraphFont"/>
  </w:style>
  <w:style w:type="character" w:customStyle="1" w:styleId="cat-ExternalSystemDefinedgrp-26rplc-6">
    <w:name w:val="cat-ExternalSystemDefined grp-26 rplc-6"/>
    <w:basedOn w:val="DefaultParagraphFont"/>
  </w:style>
  <w:style w:type="character" w:customStyle="1" w:styleId="cat-PassportDatagrp-19rplc-7">
    <w:name w:val="cat-PassportData grp-19 rplc-7"/>
    <w:basedOn w:val="DefaultParagraphFont"/>
  </w:style>
  <w:style w:type="character" w:customStyle="1" w:styleId="cat-Addressgrp-3rplc-8">
    <w:name w:val="cat-Address grp-3 rplc-8"/>
    <w:basedOn w:val="DefaultParagraphFont"/>
  </w:style>
  <w:style w:type="character" w:customStyle="1" w:styleId="cat-FIOgrp-13rplc-9">
    <w:name w:val="cat-FIO grp-13 rplc-9"/>
    <w:basedOn w:val="DefaultParagraphFont"/>
  </w:style>
  <w:style w:type="character" w:customStyle="1" w:styleId="cat-Addressgrp-4rplc-12">
    <w:name w:val="cat-Address grp-4 rplc-12"/>
    <w:basedOn w:val="DefaultParagraphFont"/>
  </w:style>
  <w:style w:type="character" w:customStyle="1" w:styleId="cat-Addressgrp-0rplc-13">
    <w:name w:val="cat-Address grp-0 rplc-13"/>
    <w:basedOn w:val="DefaultParagraphFont"/>
  </w:style>
  <w:style w:type="character" w:customStyle="1" w:styleId="cat-FIOgrp-13rplc-14">
    <w:name w:val="cat-FIO grp-13 rplc-14"/>
    <w:basedOn w:val="DefaultParagraphFont"/>
  </w:style>
  <w:style w:type="character" w:customStyle="1" w:styleId="cat-UserDefinedgrp-30rplc-15">
    <w:name w:val="cat-UserDefined grp-30 rplc-15"/>
    <w:basedOn w:val="DefaultParagraphFont"/>
  </w:style>
  <w:style w:type="character" w:customStyle="1" w:styleId="cat-UserDefinedgrp-29rplc-16">
    <w:name w:val="cat-UserDefined grp-29 rplc-16"/>
    <w:basedOn w:val="DefaultParagraphFont"/>
  </w:style>
  <w:style w:type="character" w:customStyle="1" w:styleId="cat-FIOgrp-13rplc-18">
    <w:name w:val="cat-FIO grp-13 rplc-18"/>
    <w:basedOn w:val="DefaultParagraphFont"/>
  </w:style>
  <w:style w:type="character" w:customStyle="1" w:styleId="cat-FIOgrp-14rplc-19">
    <w:name w:val="cat-FIO grp-14 rplc-19"/>
    <w:basedOn w:val="DefaultParagraphFont"/>
  </w:style>
  <w:style w:type="character" w:customStyle="1" w:styleId="cat-Addressgrp-5rplc-21">
    <w:name w:val="cat-Address grp-5 rplc-21"/>
    <w:basedOn w:val="DefaultParagraphFont"/>
  </w:style>
  <w:style w:type="character" w:customStyle="1" w:styleId="cat-FIOgrp-13rplc-22">
    <w:name w:val="cat-FIO grp-13 rplc-22"/>
    <w:basedOn w:val="DefaultParagraphFont"/>
  </w:style>
  <w:style w:type="character" w:customStyle="1" w:styleId="cat-FIOgrp-14rplc-24">
    <w:name w:val="cat-FIO grp-14 rplc-24"/>
    <w:basedOn w:val="DefaultParagraphFont"/>
  </w:style>
  <w:style w:type="character" w:customStyle="1" w:styleId="cat-FIOgrp-14rplc-26">
    <w:name w:val="cat-FIO grp-14 rplc-26"/>
    <w:basedOn w:val="DefaultParagraphFont"/>
  </w:style>
  <w:style w:type="character" w:customStyle="1" w:styleId="cat-FIOgrp-15rplc-27">
    <w:name w:val="cat-FIO grp-15 rplc-27"/>
    <w:basedOn w:val="DefaultParagraphFont"/>
  </w:style>
  <w:style w:type="character" w:customStyle="1" w:styleId="cat-ExternalSystemDefinedgrp-27rplc-28">
    <w:name w:val="cat-ExternalSystemDefined grp-27 rplc-28"/>
    <w:basedOn w:val="DefaultParagraphFont"/>
  </w:style>
  <w:style w:type="character" w:customStyle="1" w:styleId="cat-FIOgrp-14rplc-30">
    <w:name w:val="cat-FIO grp-14 rplc-30"/>
    <w:basedOn w:val="DefaultParagraphFont"/>
  </w:style>
  <w:style w:type="character" w:customStyle="1" w:styleId="cat-FIOgrp-13rplc-31">
    <w:name w:val="cat-FIO grp-13 rplc-31"/>
    <w:basedOn w:val="DefaultParagraphFont"/>
  </w:style>
  <w:style w:type="character" w:customStyle="1" w:styleId="cat-FIOgrp-13rplc-32">
    <w:name w:val="cat-FIO grp-13 rplc-32"/>
    <w:basedOn w:val="DefaultParagraphFont"/>
  </w:style>
  <w:style w:type="character" w:customStyle="1" w:styleId="cat-FIOgrp-12rplc-33">
    <w:name w:val="cat-FIO grp-12 rplc-33"/>
    <w:basedOn w:val="DefaultParagraphFont"/>
  </w:style>
  <w:style w:type="character" w:customStyle="1" w:styleId="cat-UserDefinedgrp-28rplc-34">
    <w:name w:val="cat-UserDefined grp-28 rplc-34"/>
    <w:basedOn w:val="DefaultParagraphFont"/>
  </w:style>
  <w:style w:type="character" w:customStyle="1" w:styleId="cat-Sumgrp-17rplc-35">
    <w:name w:val="cat-Sum grp-17 rplc-35"/>
    <w:basedOn w:val="DefaultParagraphFont"/>
  </w:style>
  <w:style w:type="character" w:customStyle="1" w:styleId="cat-Addressgrp-6rplc-36">
    <w:name w:val="cat-Address grp-6 rplc-36"/>
    <w:basedOn w:val="DefaultParagraphFont"/>
  </w:style>
  <w:style w:type="character" w:customStyle="1" w:styleId="cat-Addressgrp-7rplc-37">
    <w:name w:val="cat-Address grp-7 rplc-37"/>
    <w:basedOn w:val="DefaultParagraphFont"/>
  </w:style>
  <w:style w:type="character" w:customStyle="1" w:styleId="cat-Sumgrp-18rplc-40">
    <w:name w:val="cat-Sum grp-18 rplc-40"/>
    <w:basedOn w:val="DefaultParagraphFont"/>
  </w:style>
  <w:style w:type="character" w:customStyle="1" w:styleId="cat-Addressgrp-0rplc-41">
    <w:name w:val="cat-Address grp-0 rplc-41"/>
    <w:basedOn w:val="DefaultParagraphFont"/>
  </w:style>
  <w:style w:type="character" w:customStyle="1" w:styleId="cat-FIOgrp-16rplc-45">
    <w:name w:val="cat-FIO grp-16 rplc-45"/>
    <w:basedOn w:val="DefaultParagraphFont"/>
  </w:style>
  <w:style w:type="character" w:customStyle="1" w:styleId="cat-FIOgrp-16rplc-46">
    <w:name w:val="cat-FIO grp-16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www.consultant.ru/document/cons_doc_LAW_510328/2fdfa8559de67744dab415a31c1f987bc016016b/" TargetMode="External" /><Relationship Id="rId6" Type="http://schemas.openxmlformats.org/officeDocument/2006/relationships/hyperlink" Target="garantF1://1205770.1009"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FB6E952-2A2C-4439-89AC-81FABB1DD23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